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CIÊNCIA E RESPONSABILIDADE - TCR – IFSC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O INSTITUTO FEDERAL DE EDUCAÇÃO DE SANTA CATARINA - IFSC, neste ato representado pelo(a) gestor(a), Sr(a). __________________________, e, do outro lado, o(a) servidor(a) público, ______________________________, ocupante do cargo de _______________________________________, número funcional ____________, portador do CPF nº ___________________________, em conformidade com os autos do processo no _______________________ e com fundamento na Instrução Normativa do IFSC no 35/2025, no Decreto nº 11.072/2022, na Portaria do Reitor nº 3101/2025 e no Edital Unificado do PGD nº 01/2026/PGD RESOLVEM firmar o presente TERMO DE CIÊNCIA E RESPONSABILIDADE, que regerá mediante as seguintes cláusulas e condições: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CLÁUSULA PRIMEIRA – DO OBJETO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O presente instrumento tem como objeto autorizar o(a) servidor(a) ___________________________________ a realizar suas atividades laborais na modalidade teletrabalho em regime de execução (  ) parcial ou (  ) integral, nos termos e condições a seguir estabelecidos.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CLÁUSULA SEGUNDA – DAS OBRIGAÇÕES DAS PARTES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O servidor em regime de teletrabalho se obriga a: I – Providenciar e custear as estruturas físicas e tecnológicas necessárias e compatíveis com as atividades a serem desenvolvidas no teletrabalho, conforme disposto no Edital Unificado do PGD nº 01/2026/PGD;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– Cumprir, no mínimo, as metas de desempenho estabelecidas;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– Atender às convocações para comparecimento às dependências do órgão ou entidade, no interesse da Administração Pública, desde que seja respeitada a antecedência mínima de 2 (dois) dias úteis para o participante em regime de execução parcial e 4 (quatro) dias úteis para participante em regime de execução integral;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– Manter telefones de contato permanentemente atualizados e ativos, estando disponível para atendimento nos horários previamente acordados com a chefia imediata;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– participar da reorganização da escala de atendimento presencial de forma a garantir o horário pleno de funcionamento do setor, em caso de afastamento (licenças, férias e correlatos) de servidor em setores em que houver atendimento presencial, salvo situações excepcionais a serem avaliadas pelas chefias e a Direção-Geral;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– Retornar aos contatos recebidos no horário de funcionamento do órgão ou da entidade no prazo máximo acordado com a chefia.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– Informar à chefia imediata, por meio de mensagens de correio eletrônico institucional individual ou outro meio oficial e acordado com a chefia, sobre a evolução do teletrabalho, como também indicar eventual dificuldade, dúvida ou informação que possa atrasar ou prejudicar o seu andamento;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-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§ 1o O servidor poderá, caso julgue necessário, comparecer ao seu local de trabalho, a fim de sanar dúvidas que, porventura, surjam na execução dos trabalhos.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§ 2o O comparecimento presencial ao órgão não gera direito a quaisquer benefícios ou indenizações, caso o regime de teletrabalho ao qual se vincula não compreenda esse comparecimento e caso ele não ocorra sob convocação.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§ 3o A participação do servidor em regime de teletrabalho não modifica a sua lotação ou seu exercício.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§ 4o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§ 5o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- Participar de atividades de capacitação e formação relacionadas ao PGD, bem como manter-se atualizado quanto às orientações e procedimentos vigentes para o uso do sistema de gestão de atividades.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- Comprovar a realização dos cursos on-line obrigatórios que constam no Edital Unificado.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Compete à chefia imediata: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– Estabelecer metas e plano de trabalho;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– Acompanhar o trabalho e a adaptação dos servidores em regime de teletrabalho;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– Aferir e monitorar o cumprimento das metas de desempenho estabelecidas;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– Responder pelo controle dos resultados obtidos em face das metas fixadas;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– Atestar a execução das atividades desempenhadas pelo servidor;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– Encaminhar relatório ao setor de gestão de pessoas, informando eventual descumprimento das metas, a fim de que seja registrado corte de ponto, se for o caso;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– Organizar e publicizar a escala de trabalho do setor/coordenação;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- Participar de atividades de capacitação e formação relacionadas ao PGD, bem como manter-se atualizado quanto às orientações e procedimentos vigentes para o uso do sistema de gestão de atividades;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- Comprovar a realização dos cursos on-line obrigatórios que constam no Edital Unificado.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CLÁUSULA</w:t>
        <w:tab/>
        <w:t xml:space="preserve">TERCEIRA</w:t>
        <w:tab/>
        <w:t xml:space="preserve">–</w:t>
        <w:tab/>
        <w:t xml:space="preserve">DAS</w:t>
        <w:tab/>
        <w:t xml:space="preserve">METAS</w:t>
        <w:tab/>
        <w:t xml:space="preserve">DE</w:t>
        <w:tab/>
        <w:t xml:space="preserve">DESEMPENHO</w:t>
        <w:tab/>
        <w:t xml:space="preserve">E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DO</w:t>
        <w:tab/>
        <w:t xml:space="preserve">PRAZO</w:t>
        <w:tab/>
        <w:t xml:space="preserve">DE CUMPRIMENTO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3.1. As metas serão estabelecidas em plano de trabalho, utilizando, obrigatoriamente, o sistema Petrvs.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§ 1o O alcance das metas de desempenho e o cumprimento dos prazos fixados, nos termos previstos, equivalerá ao cumprimento da jornada de trabalho.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§ 2o Na hipótese de atraso injustificável no cumprimento das metas de desempenho, o servidor não se beneficiará da equivalência de jornada mencionada no § 1o,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§ 3o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CLÁUSULA QUARTA – DA VIGÊNCIA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4.1. O presente instrumento terá vigência de __ (  ) meses, de -__/__/2026 a __/__/2026.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CLÁUSULA QUINTA – DA EXTINÇÃO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5.1. O presente termo de compromisso poderá ser extinto, a qualquer tempo, mediante: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– Solicitação do servidor;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– No interesse da administração, de forma justificada;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– Nas hipóteses previstas no artigo nº 47 da Portaria do Reitor nº 3101/2025;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– Por força de alteração de legislação pertinente ao tema.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- Por inatividade no Sistema, por mais de 90 (noventa) dias;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- Por desempenho Insuficiente, caso obtenha, de forma reiterada, avaliações insuficientes ou inadequadas das suas entregas no sistema Petrvs ao longo de um período de 90 (noventa) dias;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- Por falta de Comunicação, caso deixe de responder à chefia imediata, pelos meios de comunicação indicados no TCR, por mais de 15 (quinze) dias, sem justificativa formal ou impedimento legal;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- Por mudança de Lotação, caso seja movimentado entre setores ou unidades (remoção, redistribuição ou alteração de exercício), devendo pleitear nova adesão no setor de destino, caso haja vaga e interesse da nova chefia.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CLÁUSULA SEXTA – DO ADITAMENTO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6.1. O presente termo de responsabilidade poderá ser aditado, por conveniência da Administração, por meio de termo aditivo.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CLÁUSULA SÉTIMA – DA CIÊNCIA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7.1 Ao aderir ao regime de teletrabalho, o servidor declara ciência dos dispostos na Instrução Normativa do IFSC nº 35/2025, no Decreto nº 11.072/2022 e na Portaria do Reitor nº 3101/2025.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Joinville, SC, __ de _______ de 2026.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      Assinatura do servidor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      </w:t>
        <w:tab/>
        <w:tab/>
        <w:t xml:space="preserve"> Assinatura da chefia imediata</w:t>
      </w:r>
    </w:p>
    <w:sectPr>
      <w:headerReference r:id="rId6" w:type="default"/>
      <w:pgSz w:h="16838" w:w="11906" w:orient="portrait"/>
      <w:pgMar w:bottom="1440" w:top="2706" w:left="1440" w:right="1440" w:header="14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4k2jcvkh99er" w:id="0"/>
  <w:bookmarkEnd w:id="0"/>
  <w:p w:rsidR="00000000" w:rsidDel="00000000" w:rsidP="00000000" w:rsidRDefault="00000000" w:rsidRPr="00000000" w14:paraId="00000053">
    <w:pPr>
      <w:rPr/>
    </w:pPr>
    <w:r w:rsidDel="00000000" w:rsidR="00000000" w:rsidRPr="00000000">
      <w:rPr/>
      <w:drawing>
        <wp:inline distB="0" distT="0" distL="0" distR="0">
          <wp:extent cx="5731510" cy="62420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6242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