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CIÊNCIA E RESPONSABILIDADE – TCR</w:t>
      </w:r>
    </w:p>
    <w:p>
      <w:pPr>
        <w:pStyle w:val="Normal1"/>
        <w:widowControl w:val="false"/>
        <w:spacing w:lineRule="auto" w:line="276" w:before="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76" w:before="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 </w:t>
      </w:r>
      <w:r>
        <w:rPr>
          <w:rFonts w:eastAsia="Calibri" w:cs="Calibri" w:ascii="Calibri" w:hAnsi="Calibri"/>
          <w:b/>
          <w:sz w:val="24"/>
          <w:szCs w:val="24"/>
        </w:rPr>
        <w:t xml:space="preserve">INSTITUTO FEDERAL DE EDUCAÇÃO DE SANTA CATARINA - IFSC, Câmpus </w:t>
      </w:r>
      <w:r>
        <w:rPr>
          <w:rFonts w:eastAsia="Calibri" w:cs="Calibri" w:ascii="Calibri" w:hAnsi="Calibri"/>
          <w:b/>
          <w:sz w:val="24"/>
          <w:szCs w:val="24"/>
        </w:rPr>
        <w:t>São Lourenço do Oeste</w:t>
      </w:r>
      <w:r>
        <w:rPr>
          <w:rFonts w:eastAsia="Calibri" w:cs="Calibri" w:ascii="Calibri" w:hAnsi="Calibri"/>
          <w:b/>
          <w:sz w:val="24"/>
          <w:szCs w:val="24"/>
        </w:rPr>
        <w:t xml:space="preserve">, </w:t>
      </w:r>
      <w:r>
        <w:rPr>
          <w:rFonts w:eastAsia="Calibri" w:cs="Calibri" w:ascii="Calibri" w:hAnsi="Calibri"/>
          <w:sz w:val="24"/>
          <w:szCs w:val="24"/>
        </w:rPr>
        <w:t>neste ato representada pelo gestor, Sr. _____________________________(nome da chefia imediata), e, do outro lado, o servidor público, _______________________________ (nome do servidor)</w:t>
      </w:r>
      <w:r>
        <w:rPr>
          <w:rFonts w:eastAsia="Calibri" w:cs="Calibri" w:ascii="Calibri" w:hAnsi="Calibri"/>
          <w:b/>
          <w:sz w:val="24"/>
          <w:szCs w:val="24"/>
        </w:rPr>
        <w:t xml:space="preserve">, </w:t>
      </w:r>
      <w:r>
        <w:rPr>
          <w:rFonts w:eastAsia="Calibri" w:cs="Calibri" w:ascii="Calibri" w:hAnsi="Calibri"/>
          <w:sz w:val="24"/>
          <w:szCs w:val="24"/>
        </w:rPr>
        <w:t>ocupante do cargo de _____________________ (nome do cargo), SIAPE ____________, portador do CPF nº _______________, em conformidade com os autos do processo nº _________________ e com fundamento n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a Instrução Normativa n.º 15/2024 e </w:t>
      </w:r>
      <w:r>
        <w:rPr>
          <w:rFonts w:eastAsia="Calibri" w:cs="Calibri" w:ascii="Calibri" w:hAnsi="Calibri"/>
          <w:sz w:val="24"/>
          <w:szCs w:val="24"/>
        </w:rPr>
        <w:t>Portaria do Reitor nº 2203/2024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, </w:t>
      </w:r>
      <w:r>
        <w:rPr>
          <w:rFonts w:eastAsia="Calibri" w:cs="Calibri" w:ascii="Calibri" w:hAnsi="Calibri"/>
          <w:sz w:val="24"/>
          <w:szCs w:val="24"/>
        </w:rPr>
        <w:t xml:space="preserve">RESOLVEM firmar o presente TERMO DE CIÊNCIA E RESPONSABILIDADE, que regerá mediante as seguintes cláusulas e condições: 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20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PRIMEIRA – DO OBJETO 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1.1. O presente instrumento tem como objeto autorizar o servidor ______________________________________ a realizar suas atividades laborais na modalidade teletrabalho, nos termos e condições a seguir estabelecidos. </w:t>
      </w:r>
    </w:p>
    <w:p>
      <w:pPr>
        <w:pStyle w:val="Normal1"/>
        <w:widowControl w:val="false"/>
        <w:spacing w:lineRule="auto" w:line="196" w:before="0" w:after="20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196" w:before="200" w:after="20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SEGUNDA – DAS OBRIGAÇÕES DAS PARTES </w:t>
      </w:r>
    </w:p>
    <w:p>
      <w:pPr>
        <w:pStyle w:val="Normal1"/>
        <w:widowControl w:val="false"/>
        <w:spacing w:lineRule="auto" w:line="19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2.1. O servidor em regime de teletrabalho se obriga a: </w:t>
      </w:r>
    </w:p>
    <w:p>
      <w:pPr>
        <w:pStyle w:val="Normal1"/>
        <w:widowControl w:val="false"/>
        <w:spacing w:lineRule="auto" w:line="19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 – Providenciar e custear as estruturas físicas e tecnológicas necessárias e compatíveis com as atividades a serem desenvolvidas no teletrabalho, conforme disposto no Anexo II; </w:t>
      </w:r>
    </w:p>
    <w:p>
      <w:pPr>
        <w:pStyle w:val="Normal1"/>
        <w:widowControl w:val="false"/>
        <w:spacing w:lineRule="auto" w:line="19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II – Cumprir, no mínimo, as metas de desempenho estabelecidas; </w:t>
      </w:r>
    </w:p>
    <w:p>
      <w:pPr>
        <w:pStyle w:val="Normal1"/>
        <w:widowControl w:val="false"/>
        <w:spacing w:lineRule="auto" w:line="19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– Atender às convocações para comparecimento às dependências do órgão ou entidade, no interesse da Administração Pública, desde que seja respeitada a antecedência m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ínima de 2 (dois) dias úteis para o participante em regime de execução parcial e 4 (quatro) dias úteis para </w:t>
      </w:r>
      <w:r>
        <w:rPr>
          <w:rFonts w:eastAsia="Calibri" w:cs="Calibri" w:ascii="Calibri" w:hAnsi="Calibri"/>
          <w:sz w:val="24"/>
          <w:szCs w:val="24"/>
        </w:rPr>
        <w:t>participante em regime de execução integral</w:t>
      </w:r>
      <w:r>
        <w:rPr>
          <w:rFonts w:eastAsia="Calibri" w:cs="Calibri" w:ascii="Calibri" w:hAnsi="Calibri"/>
          <w:sz w:val="24"/>
          <w:szCs w:val="24"/>
          <w:highlight w:val="white"/>
        </w:rPr>
        <w:t>;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19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IV – Manter telefones de contato permanente, atualizados e ativos; </w:t>
      </w:r>
    </w:p>
    <w:p>
      <w:pPr>
        <w:pStyle w:val="Normal1"/>
        <w:widowControl w:val="false"/>
        <w:spacing w:lineRule="auto" w:line="271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 – Consultar diariamente correio eletrônico (e-mail) institucional individual e/ou outro canal de comunicação institucional previamente definido, inclusive via aplicativo multiplataforma de mensagens instantâneas e/ou outro recurso de tecnologia da informação; </w:t>
      </w:r>
    </w:p>
    <w:p>
      <w:pPr>
        <w:pStyle w:val="Normal1"/>
        <w:widowControl w:val="false"/>
        <w:spacing w:lineRule="auto" w:line="271" w:before="20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VI – Retornar aos contatos recebidos no horário de funcionamento do órgão ou da entidade no prazo máximo de 8 (oito) horas. </w:t>
      </w:r>
    </w:p>
    <w:p>
      <w:pPr>
        <w:pStyle w:val="Normal1"/>
        <w:widowControl w:val="false"/>
        <w:spacing w:lineRule="auto" w:line="271" w:before="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VII – Informar à chefia imediata, por meio de mensagens de correio eletrônico institucional individual, sobre a evolução do teletrabalho, como também indicar eventual dificuldade, dúvida ou informação que possa atrasar ou prejudicar o seu andamento; </w:t>
      </w:r>
    </w:p>
    <w:p>
      <w:pPr>
        <w:pStyle w:val="Normal1"/>
        <w:widowControl w:val="false"/>
        <w:spacing w:lineRule="auto" w:line="273" w:before="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VIII 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 </w:t>
      </w:r>
    </w:p>
    <w:p>
      <w:pPr>
        <w:pStyle w:val="Normal1"/>
        <w:widowControl w:val="false"/>
        <w:spacing w:lineRule="auto" w:line="273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IX –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 </w:t>
      </w:r>
    </w:p>
    <w:p>
      <w:pPr>
        <w:pStyle w:val="Normal1"/>
        <w:widowControl w:val="false"/>
        <w:spacing w:lineRule="auto" w:line="276" w:before="20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 </w:t>
      </w:r>
    </w:p>
    <w:p>
      <w:pPr>
        <w:pStyle w:val="Normal1"/>
        <w:widowControl w:val="false"/>
        <w:spacing w:lineRule="auto" w:line="276" w:before="20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1º O servidor poderá, caso julgue necessário, comparecer ao seu local de trabalho, a fim de sanar dúvidas que, porventura, surjam na execução dos trabalhos. </w:t>
      </w:r>
    </w:p>
    <w:p>
      <w:pPr>
        <w:pStyle w:val="Normal1"/>
        <w:widowControl w:val="false"/>
        <w:spacing w:lineRule="auto" w:line="27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2º O comparecimento presencial ao órgão não gera direito a quaisquer benefícios ou indenizações. </w:t>
      </w:r>
    </w:p>
    <w:p>
      <w:pPr>
        <w:pStyle w:val="Normal1"/>
        <w:widowControl w:val="false"/>
        <w:spacing w:lineRule="auto" w:line="27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3º A participação do servidor em regime de teletrabalho não modifica a sua lotação ou seu exercício. </w:t>
      </w:r>
    </w:p>
    <w:p>
      <w:pPr>
        <w:pStyle w:val="Normal1"/>
        <w:widowControl w:val="false"/>
        <w:spacing w:lineRule="auto" w:line="27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4º As atividades executadas pelo servidor em regime de teletrabalho deverão ser cumpridas diretamente por ele, sendo vedada sua realização por terceiros, servidores ou não, sob pena de responsabilização administrativa, civil e criminal. </w:t>
      </w:r>
    </w:p>
    <w:p>
      <w:pPr>
        <w:pStyle w:val="Normal1"/>
        <w:widowControl w:val="false"/>
        <w:spacing w:lineRule="auto" w:line="27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5º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 </w:t>
      </w:r>
    </w:p>
    <w:p>
      <w:pPr>
        <w:pStyle w:val="Normal1"/>
        <w:widowControl w:val="false"/>
        <w:spacing w:lineRule="auto" w:line="196" w:before="331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2.2. Compete à chefia imediata: </w:t>
      </w:r>
    </w:p>
    <w:p>
      <w:pPr>
        <w:pStyle w:val="Normal1"/>
        <w:widowControl w:val="false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 – Estabelecer metas e planos de entrega e de trabalho; </w:t>
      </w:r>
    </w:p>
    <w:p>
      <w:pPr>
        <w:pStyle w:val="Normal1"/>
        <w:widowControl w:val="false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II – Acompanhar o trabalho e a adaptação dos servidores em regime de teletrabalho; </w:t>
      </w:r>
    </w:p>
    <w:p>
      <w:pPr>
        <w:pStyle w:val="Normal1"/>
        <w:widowControl w:val="false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III – Aferir e monitorar o cumprimento das metas de desempenho estabelecidas; </w:t>
      </w:r>
    </w:p>
    <w:p>
      <w:pPr>
        <w:pStyle w:val="Normal1"/>
        <w:widowControl w:val="false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IV – Responder pelo controle dos resultados obtidos em face das metas fixadas; </w:t>
      </w:r>
    </w:p>
    <w:p>
      <w:pPr>
        <w:pStyle w:val="Normal1"/>
        <w:widowControl w:val="false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 – Atestar a execução das atividades desempenhadas pelo servidor; </w:t>
      </w:r>
    </w:p>
    <w:p>
      <w:pPr>
        <w:pStyle w:val="Normal1"/>
        <w:widowControl w:val="false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VI – Encaminhar relatório ao setor de gestão de pessoas, informando eventual descumprimento das metas, a fim de que seja registrado corte de ponto, se for o caso. 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TERCEIRA – DAS METAS DE DESEMPENHO E DO PRAZO DE CUMPRIMENTO </w:t>
      </w:r>
    </w:p>
    <w:p>
      <w:pPr>
        <w:pStyle w:val="Normal1"/>
        <w:widowControl w:val="false"/>
        <w:spacing w:lineRule="auto" w:line="271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3.1. As metas serão estabelecidas em plano de trabalho utilizando o sistema Petrvs.</w:t>
      </w:r>
    </w:p>
    <w:p>
      <w:pPr>
        <w:pStyle w:val="Normal1"/>
        <w:widowControl w:val="false"/>
        <w:spacing w:lineRule="auto" w:line="271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1º O alcance das metas de desempenho e o cumprimento dos prazos fixados, nos termos previstos, equivalerá ao cumprimento da jornada de trabalho. </w:t>
      </w:r>
    </w:p>
    <w:p>
      <w:pPr>
        <w:pStyle w:val="Normal1"/>
        <w:widowControl w:val="false"/>
        <w:spacing w:lineRule="auto" w:line="271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 </w:t>
      </w:r>
    </w:p>
    <w:p>
      <w:pPr>
        <w:pStyle w:val="Normal1"/>
        <w:widowControl w:val="false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 </w:t>
      </w:r>
    </w:p>
    <w:p>
      <w:pPr>
        <w:pStyle w:val="Normal1"/>
        <w:widowControl w:val="false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71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CLÁUSULA QUARTA – DA VIGÊNCIA</w:t>
      </w:r>
    </w:p>
    <w:p>
      <w:pPr>
        <w:pStyle w:val="Normal1"/>
        <w:widowControl w:val="false"/>
        <w:spacing w:lineRule="auto" w:line="271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O presente instrumento terá vigência no período de _________ a _________, conforme cronograma da chamada. </w:t>
      </w:r>
    </w:p>
    <w:p>
      <w:pPr>
        <w:pStyle w:val="Normal1"/>
        <w:widowControl w:val="false"/>
        <w:spacing w:lineRule="auto" w:line="271" w:before="200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QUINTA – DA EXTINÇÃO </w:t>
      </w:r>
    </w:p>
    <w:p>
      <w:pPr>
        <w:pStyle w:val="Normal1"/>
        <w:widowControl w:val="false"/>
        <w:spacing w:lineRule="auto" w:line="19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5.1. O presente termo de compromisso poderá ser extinto, a qualquer tempo, mediante: </w:t>
      </w:r>
    </w:p>
    <w:p>
      <w:pPr>
        <w:pStyle w:val="Normal1"/>
        <w:widowControl w:val="false"/>
        <w:spacing w:lineRule="auto" w:line="19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– solicitação do servidor;</w:t>
      </w:r>
    </w:p>
    <w:p>
      <w:pPr>
        <w:pStyle w:val="Normal1"/>
        <w:widowControl w:val="false"/>
        <w:spacing w:lineRule="auto" w:line="19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– no interesse da administração, de forma justificada;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III – a qualquer tempo, pelo descumprimento das obrigações previstas no plano de trabalho e/ou do TCR, mediante comunicação prévia da chefia da unidade de execução, sem prejuízo de instauração de procedimento correicional; 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IV – pelo decurso de prazo de participação no PGD, quando houver, salvo se deferida prorrogação do prazo; 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 – em virtude de redistribuição, remoção, projeto institucional ou qualquer movimentação que altere a unidade de exercício do servidor e a capacidade de atendimento presencial do setor; 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VI – em virtude de aprovação do participante para a execução de outras atividades não abrangidas pelo PGD, salvo nas acumulações lícitas de cargos, quando comprovada a compatibilidade de horários; 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VII – pela superveniência das hipóteses de vedação previstas na legislação vigente; 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VIII – em razão de mudança de setor pelo servidor, hipótese em que nova adesão fica condicionada ao cumprimento do disposto na legislação vigente; 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IX – pelo descumprimento das atribuições e responsabilidades previstas na legislação vigente; </w:t>
      </w:r>
    </w:p>
    <w:p>
      <w:pPr>
        <w:pStyle w:val="Normal1"/>
        <w:widowControl w:val="false"/>
        <w:spacing w:lineRule="auto" w:line="240" w:before="47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X – em caso de suspensão ou revogação do PGD. </w:t>
      </w:r>
    </w:p>
    <w:p>
      <w:pPr>
        <w:pStyle w:val="Normal1"/>
        <w:widowControl w:val="false"/>
        <w:spacing w:lineRule="auto" w:line="271" w:before="464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Parágrafo único.</w:t>
      </w:r>
      <w:r>
        <w:rPr>
          <w:rFonts w:eastAsia="Calibri" w:cs="Calibri" w:ascii="Calibri" w:hAnsi="Calibri"/>
          <w:sz w:val="24"/>
          <w:szCs w:val="24"/>
        </w:rPr>
        <w:t xml:space="preserve"> No caso da desautorização/extinção, o servidor terá o prazo de 5 (cinco) dias úteis para deixar de exercer as atividades em modalidade teletrabalho, a contar de sua regular ciência, sem prejuízo do cumprimento das metas do mês em curso. </w:t>
      </w:r>
    </w:p>
    <w:p>
      <w:pPr>
        <w:pStyle w:val="Normal1"/>
        <w:widowControl w:val="false"/>
        <w:spacing w:lineRule="auto" w:line="271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SEXTA – DO ADITAMENTO </w:t>
      </w:r>
    </w:p>
    <w:p>
      <w:pPr>
        <w:pStyle w:val="Normal1"/>
        <w:widowControl w:val="false"/>
        <w:spacing w:lineRule="auto" w:line="196" w:before="200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6.1. O presente termo de responsabilidade poderá ser aditado, por conveniência da Administração, por meio de termo aditivo. </w:t>
      </w:r>
    </w:p>
    <w:p>
      <w:pPr>
        <w:pStyle w:val="Normal1"/>
        <w:widowControl w:val="false"/>
        <w:spacing w:lineRule="auto" w:line="280" w:before="0" w:after="0"/>
        <w:jc w:val="center"/>
        <w:rPr>
          <w:rFonts w:ascii="Calibri" w:hAnsi="Calibri" w:eastAsia="Calibri" w:cs="Calibri"/>
          <w:b/>
          <w:b/>
          <w:sz w:val="12"/>
          <w:szCs w:val="12"/>
        </w:rPr>
      </w:pPr>
      <w:r>
        <w:rPr>
          <w:rFonts w:eastAsia="Calibri" w:cs="Calibri" w:ascii="Calibri" w:hAnsi="Calibri"/>
          <w:b/>
          <w:sz w:val="12"/>
          <w:szCs w:val="12"/>
        </w:rPr>
      </w:r>
    </w:p>
    <w:p>
      <w:pPr>
        <w:pStyle w:val="Normal1"/>
        <w:widowControl w:val="false"/>
        <w:spacing w:lineRule="auto" w:line="280" w:before="0" w:after="0"/>
        <w:jc w:val="right"/>
        <w:rPr/>
      </w:pPr>
      <w:r>
        <w:rPr>
          <w:rFonts w:eastAsia="Calibri" w:cs="Calibri" w:ascii="Calibri" w:hAnsi="Calibri"/>
          <w:b/>
          <w:sz w:val="24"/>
          <w:szCs w:val="24"/>
        </w:rPr>
        <w:t>São Lourenço do Oeste</w:t>
      </w:r>
      <w:r>
        <w:rPr>
          <w:rFonts w:eastAsia="Calibri" w:cs="Calibri" w:ascii="Calibri" w:hAnsi="Calibri"/>
          <w:b/>
          <w:sz w:val="24"/>
          <w:szCs w:val="24"/>
        </w:rPr>
        <w:t>, SC</w:t>
      </w:r>
      <w:r>
        <w:rPr>
          <w:rFonts w:eastAsia="Calibri" w:cs="Calibri" w:ascii="Calibri" w:hAnsi="Calibri"/>
          <w:sz w:val="24"/>
          <w:szCs w:val="24"/>
        </w:rPr>
        <w:t xml:space="preserve">, ______ de _____________ de 2025. </w:t>
      </w:r>
    </w:p>
    <w:p>
      <w:pPr>
        <w:pStyle w:val="Normal1"/>
        <w:widowControl w:val="false"/>
        <w:spacing w:lineRule="auto" w:line="28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8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8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(nome e assinatura da chefia imediata)                                                       (nome e assinatura do servidor)</w:t>
      </w:r>
    </w:p>
    <w:p>
      <w:pPr>
        <w:pStyle w:val="Normal1"/>
        <w:widowControl w:val="false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880" w:h="16838"/>
      <w:pgMar w:left="850" w:right="850" w:gutter="0" w:header="566" w:top="623" w:footer="0" w:bottom="64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/>
      <w:jc w:val="center"/>
      <w:rPr>
        <w:rFonts w:ascii="Calibri" w:hAnsi="Calibri" w:eastAsia="Calibri" w:cs="Calibri"/>
        <w:b/>
        <w:b/>
        <w:color w:val="008000"/>
        <w:sz w:val="18"/>
        <w:szCs w:val="18"/>
      </w:rPr>
    </w:pPr>
    <w:r>
      <w:rPr>
        <w:rFonts w:eastAsia="Calibri" w:cs="Calibri" w:ascii="Calibri" w:hAnsi="Calibri"/>
        <w:b/>
        <w:color w:val="008000"/>
        <w:sz w:val="18"/>
        <w:szCs w:val="18"/>
      </w:rPr>
      <w:t xml:space="preserve">Instituto Federal de Santa Catarina – Câmpus São Lourenço do Oeste </w:t>
    </w:r>
  </w:p>
  <w:p>
    <w:pPr>
      <w:pStyle w:val="Normal1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/>
      <w:jc w:val="center"/>
      <w:rPr>
        <w:b w:val="false"/>
        <w:b w:val="false"/>
        <w:bCs w:val="false"/>
        <w:color w:val="000000"/>
      </w:rPr>
    </w:pPr>
    <w:r>
      <w:rPr>
        <w:rFonts w:eastAsia="Calibri" w:cs="Calibri" w:ascii="Calibri" w:hAnsi="Calibri"/>
        <w:b w:val="false"/>
        <w:bCs w:val="false"/>
        <w:color w:val="000000"/>
        <w:sz w:val="18"/>
        <w:szCs w:val="18"/>
      </w:rPr>
      <w:t xml:space="preserve">Rua Aderbal Ramos da Silva, 486 | Progresso | São Lourenço do Oeste/SC | CEP: 89.990-000 </w:t>
    </w:r>
  </w:p>
  <w:p>
    <w:pPr>
      <w:pStyle w:val="Normal1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/>
      <w:jc w:val="center"/>
      <w:rPr>
        <w:b w:val="false"/>
        <w:b w:val="false"/>
        <w:bCs w:val="false"/>
        <w:color w:val="000000"/>
      </w:rPr>
    </w:pPr>
    <w:r>
      <w:rPr>
        <w:rFonts w:eastAsia="Calibri" w:cs="Calibri" w:ascii="Calibri" w:hAnsi="Calibri"/>
        <w:b w:val="false"/>
        <w:bCs w:val="false"/>
        <w:color w:val="000000"/>
        <w:sz w:val="18"/>
        <w:szCs w:val="18"/>
      </w:rPr>
      <w:t xml:space="preserve">Fone: (49) 3344-8495 | www.ifsc.edu.br/slo </w:t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LibreOffice/7.4.3.2$Windows_X86_64 LibreOffice_project/1048a8393ae2eeec98dff31b5c133c5f1d08b890</Application>
  <AppVersion>15.0000</AppVersion>
  <Pages>3</Pages>
  <Words>1155</Words>
  <Characters>6672</Characters>
  <CharactersWithSpaces>7909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2025-03-28T09:09:33Z</dcterms:modified>
  <cp:revision>3</cp:revision>
  <dc:subject/>
  <dc:title/>
</cp:coreProperties>
</file>