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Rule="auto"/>
        <w:ind w:left="618" w:right="659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Termo de Ciência e Responsabilidade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141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 INSTITUTO FEDERAL DE EDUCAÇÃO DE SANTA CATARINA- IFSC, neste ato</w:t>
      </w:r>
    </w:p>
    <w:p w:rsidR="00000000" w:rsidDel="00000000" w:rsidP="00000000" w:rsidRDefault="00000000" w:rsidRPr="00000000" w14:paraId="00000005">
      <w:pPr>
        <w:tabs>
          <w:tab w:val="left" w:leader="none" w:pos="4182"/>
          <w:tab w:val="left" w:leader="none" w:pos="7278"/>
          <w:tab w:val="left" w:leader="none" w:pos="7375"/>
          <w:tab w:val="left" w:leader="none" w:pos="7460"/>
          <w:tab w:val="left" w:leader="none" w:pos="8623"/>
          <w:tab w:val="left" w:leader="none" w:pos="9208"/>
        </w:tabs>
        <w:spacing w:before="125" w:line="360" w:lineRule="auto"/>
        <w:ind w:left="141" w:right="135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representada pelo gestor, Sr.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(nome da chefia imediata), e, do outro lado, o servidor público,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(nome do servidor), ocupante do cargo de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  <w:tab/>
      </w:r>
      <w:r w:rsidDel="00000000" w:rsidR="00000000" w:rsidRPr="00000000">
        <w:rPr>
          <w:sz w:val="22"/>
          <w:szCs w:val="22"/>
          <w:rtl w:val="0"/>
        </w:rPr>
        <w:t xml:space="preserve">(nome do cargo), número funcional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, portador do CPF nº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, em conformidade com os autos do processo nº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e com fundamento n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sz w:val="22"/>
          <w:szCs w:val="22"/>
          <w:rtl w:val="0"/>
        </w:rPr>
        <w:t xml:space="preserve"> Decreto 11.072/2022 e Portaria do Reitor nº 1.795/2022, RESOLVEM firmar o presente TERMO DE RESPONSABILIDADE, que regerá mediante as seguintes cláusulas e condições:</w:t>
      </w:r>
    </w:p>
    <w:p w:rsidR="00000000" w:rsidDel="00000000" w:rsidP="00000000" w:rsidRDefault="00000000" w:rsidRPr="00000000" w14:paraId="00000006">
      <w:pPr>
        <w:tabs>
          <w:tab w:val="left" w:leader="none" w:pos="4182"/>
          <w:tab w:val="left" w:leader="none" w:pos="7278"/>
          <w:tab w:val="left" w:leader="none" w:pos="7375"/>
          <w:tab w:val="left" w:leader="none" w:pos="7460"/>
          <w:tab w:val="left" w:leader="none" w:pos="8623"/>
          <w:tab w:val="left" w:leader="none" w:pos="9208"/>
        </w:tabs>
        <w:spacing w:before="125" w:line="360" w:lineRule="auto"/>
        <w:ind w:left="141" w:right="13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ind w:left="618" w:right="654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PRIMEIRA – DO OBJETO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" w:lineRule="auto"/>
        <w:ind w:left="141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1.1.    O     presente     instrumento     tem     como     objeto     autorizar     o     servidor</w:t>
      </w:r>
    </w:p>
    <w:p w:rsidR="00000000" w:rsidDel="00000000" w:rsidP="00000000" w:rsidRDefault="00000000" w:rsidRPr="00000000" w14:paraId="0000000B">
      <w:pPr>
        <w:tabs>
          <w:tab w:val="left" w:leader="none" w:pos="4840"/>
        </w:tabs>
        <w:spacing w:before="127" w:line="357" w:lineRule="auto"/>
        <w:ind w:left="141" w:right="177" w:firstLine="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</w:t>
      </w:r>
      <w:r w:rsidDel="00000000" w:rsidR="00000000" w:rsidRPr="00000000">
        <w:rPr>
          <w:sz w:val="22"/>
          <w:szCs w:val="22"/>
          <w:rtl w:val="0"/>
        </w:rPr>
        <w:t xml:space="preserve">a realizar suas atividades laborais na modalidade teletrabalho, nos termos e condições a seguir estabelecidos.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Rule="auto"/>
        <w:ind w:left="618" w:right="656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SEGUNDA – DAS OBRIGAÇÕES DAS PARTES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0"/>
        </w:tabs>
        <w:spacing w:after="0" w:before="0" w:line="240" w:lineRule="auto"/>
        <w:ind w:left="569" w:right="0" w:hanging="429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servidor em regime de teletrabalho se obriga a: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6"/>
        </w:tabs>
        <w:spacing w:after="0" w:before="37" w:line="276" w:lineRule="auto"/>
        <w:ind w:left="141" w:right="187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Providenciar e custear as estruturas físicas e tecnológicas necessárias e compatíveis com as atividades a serem desenvolvidas no teletrabalho, conforme disposto no Anexo I do Edital;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50" w:lineRule="auto"/>
        <w:ind w:left="325" w:right="0" w:hanging="185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Cumprir, no mínimo, as metas de desempenho estabelecidas;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2"/>
        </w:tabs>
        <w:spacing w:after="0" w:before="37" w:line="276" w:lineRule="auto"/>
        <w:ind w:left="141" w:right="184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Atender às convocações para comparecimento às dependências do órgão ou entidade, no interesse da Administração Pública, desde que seja respeitada a antecedência mínima de 5 (cinco) dias úteis;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4"/>
        </w:tabs>
        <w:spacing w:after="0" w:before="0" w:line="276" w:lineRule="auto"/>
        <w:ind w:left="141" w:right="180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Manter telefones de contato permanente atualizados e ativos, estando disponível para atendimento   nos    horários    previamente    acordados    com    a    chefia    imediata; V – participar da reorganização da escala de atendimento presencial de forma a garantir o horário pleno de funcionamento do setor, em caso de afastamento (licenças, férias e correlatos) de servidor em setores em que houver atendimento presencial, salvo situações excepcionais       a      serem      avaliadas       pelas       chefias      e      a      direção-geral; VI – Consultar diariamente correio eletrônico (e-mail) institucional individual e/ou outro canal de comunicação institucional previamente definido, inclusive via aplicativo multiplataforma de mensagens instantâneas e/ou outro recurso de tecnologia da informação;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8"/>
        </w:tabs>
        <w:spacing w:after="0" w:before="0" w:line="276" w:lineRule="auto"/>
        <w:ind w:left="141" w:right="183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Informar à chefia imediata, por meio de mensagens de correio eletrônico institucional individual, sobre a evolução do teletrabalho, como também indicar eventual dificuldade, dúvida ou informação que possa atrasar ou prejudicar o seu andamento;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6"/>
        </w:tabs>
        <w:spacing w:after="0" w:before="0" w:line="276" w:lineRule="auto"/>
        <w:ind w:left="141" w:right="188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Reunir-se com a chefia imediata, mediante prévio aviso, para apresentar resultados parciais e finais, inclusive por meio de videoconferência ou outro meio de tecnologia 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informação, proporcionando o acompanhamento da evolução dos trabalhos e fornecimento de demais informações;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4"/>
        </w:tabs>
        <w:spacing w:after="0" w:before="0" w:line="276" w:lineRule="auto"/>
        <w:ind w:left="141" w:right="182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Retirar processos e demais documentos das dependências do órgão ou entidade, quando necessário, somente mediante registro no Sistema Eletrônico de Protocolo (SIPAC) de forma pessoal, e devolvê-los íntegros ao término do trabalho ou quando solicitado pela chefia imediata ou gestor da unidade;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</w:tabs>
        <w:spacing w:after="0" w:before="0" w:line="276" w:lineRule="auto"/>
        <w:ind w:left="141" w:right="182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Observar as normas e os procedimentos relativos à segurança da informação institucional e guardar sigilo a respeito das informações contidas nos processos e documentos que lhe forem atribuídos em regime de teletrabalho, sob pena de responsabilidade, nos termos da legislação em vigor.</w:t>
      </w:r>
    </w:p>
    <w:p w:rsidR="00000000" w:rsidDel="00000000" w:rsidP="00000000" w:rsidRDefault="00000000" w:rsidRPr="00000000" w14:paraId="00000018">
      <w:pPr>
        <w:spacing w:before="0" w:line="276" w:lineRule="auto"/>
        <w:ind w:left="141" w:right="191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§1º. O servidor poderá, caso julgue necessário, comparecer ao seu local de trabalho, a fim de sanar dúvidas que, porventura, surjam na execução dos trabalhos.</w:t>
      </w:r>
    </w:p>
    <w:p w:rsidR="00000000" w:rsidDel="00000000" w:rsidP="00000000" w:rsidRDefault="00000000" w:rsidRPr="00000000" w14:paraId="00000019">
      <w:pPr>
        <w:spacing w:before="0" w:line="276" w:lineRule="auto"/>
        <w:ind w:left="141" w:right="186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§2º A participação do servidor em regime de teletrabalho não modifica a sua lotação ou seu exercício.</w:t>
      </w:r>
    </w:p>
    <w:p w:rsidR="00000000" w:rsidDel="00000000" w:rsidP="00000000" w:rsidRDefault="00000000" w:rsidRPr="00000000" w14:paraId="0000001A">
      <w:pPr>
        <w:spacing w:before="0" w:line="276" w:lineRule="auto"/>
        <w:ind w:left="141" w:right="184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§3º As atividades executadas pelo servidor em regime de teletrabalho deverão ser cumpridas diretamente por ele, sendo vedada sua realização por terceiros, servidores ou não, sob pena de responsabilização administrativa, civil e criminal.</w:t>
      </w:r>
    </w:p>
    <w:p w:rsidR="00000000" w:rsidDel="00000000" w:rsidP="00000000" w:rsidRDefault="00000000" w:rsidRPr="00000000" w14:paraId="0000001B">
      <w:pPr>
        <w:spacing w:before="0" w:line="276" w:lineRule="auto"/>
        <w:ind w:left="141" w:right="186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§4º A ocorrência de dificuldades técnicas com o acesso remoto aos sistemas institucionais não configura justificativa para o não cumprimento das metas, devendo o servidor, sempre que necessário, comparecer na respectiva unidade de lotação e executar suas atividades na forma presencial.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0"/>
        </w:tabs>
        <w:spacing w:after="0" w:before="1" w:line="240" w:lineRule="auto"/>
        <w:ind w:left="569" w:right="0" w:hanging="429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Compete à chefia imediata: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4"/>
        </w:tabs>
        <w:spacing w:after="0" w:before="37" w:line="240" w:lineRule="auto"/>
        <w:ind w:left="263" w:right="0" w:hanging="123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Estabelecer metas e plano de trabalho;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37" w:line="276" w:lineRule="auto"/>
        <w:ind w:left="141" w:right="926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Acompanhar o trabalho e a adaptação dos servidores em regime de teletrabalho; III – Aferir e monitorar o cumprimento das metas de desempenho estabelecidas;</w:t>
      </w:r>
    </w:p>
    <w:p w:rsidR="00000000" w:rsidDel="00000000" w:rsidP="00000000" w:rsidRDefault="00000000" w:rsidRPr="00000000" w14:paraId="00000020">
      <w:pPr>
        <w:spacing w:before="0" w:line="276" w:lineRule="auto"/>
        <w:ind w:left="141" w:right="1337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IV – Responder pelo controle dos resultados obtidos em face das metas fixadas; V – Atestar a execução das atividades desempenhadas pelo servidor;</w:t>
      </w:r>
    </w:p>
    <w:p w:rsidR="00000000" w:rsidDel="00000000" w:rsidP="00000000" w:rsidRDefault="00000000" w:rsidRPr="00000000" w14:paraId="00000021">
      <w:pPr>
        <w:spacing w:before="0" w:line="276" w:lineRule="auto"/>
        <w:ind w:left="141" w:right="0" w:firstLine="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VI – Encaminhar relatório ao setor de gestão de pessoas, informando eventual descumprimento das metas, a fim de que seja registrado corte de ponto, se for o caso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before="0" w:line="276" w:lineRule="auto"/>
        <w:ind w:left="141" w:right="0" w:firstLine="0"/>
        <w:jc w:val="left"/>
        <w:rPr/>
      </w:pPr>
      <w:r w:rsidDel="00000000" w:rsidR="00000000" w:rsidRPr="00000000">
        <w:rPr>
          <w:rtl w:val="0"/>
        </w:rPr>
        <w:t xml:space="preserve">VII – Organizar e publicizar a escala de trabalho do setor/coordenação e encaminhar para chefia subsequente ou direção para aprovação.</w:t>
      </w:r>
    </w:p>
    <w:p w:rsidR="00000000" w:rsidDel="00000000" w:rsidP="00000000" w:rsidRDefault="00000000" w:rsidRPr="00000000" w14:paraId="00000023">
      <w:pPr>
        <w:spacing w:before="0" w:line="276" w:lineRule="auto"/>
        <w:ind w:left="141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0" w:line="276" w:lineRule="auto"/>
        <w:ind w:left="141" w:right="0" w:firstLine="0"/>
        <w:jc w:val="left"/>
        <w:rPr/>
      </w:pPr>
      <w:r w:rsidDel="00000000" w:rsidR="00000000" w:rsidRPr="00000000">
        <w:rPr>
          <w:rtl w:val="0"/>
        </w:rPr>
        <w:t xml:space="preserve">2.3 Compete à chefia subsequente ou direção:</w:t>
      </w:r>
    </w:p>
    <w:p w:rsidR="00000000" w:rsidDel="00000000" w:rsidP="00000000" w:rsidRDefault="00000000" w:rsidRPr="00000000" w14:paraId="00000025">
      <w:pPr>
        <w:spacing w:before="0" w:line="276" w:lineRule="auto"/>
        <w:ind w:left="141" w:right="0" w:firstLine="0"/>
        <w:jc w:val="left"/>
        <w:rPr/>
      </w:pPr>
      <w:r w:rsidDel="00000000" w:rsidR="00000000" w:rsidRPr="00000000">
        <w:rPr>
          <w:rtl w:val="0"/>
        </w:rPr>
        <w:t xml:space="preserve">I – Aprovar escala de trabalho do setor.</w:t>
      </w:r>
    </w:p>
    <w:p w:rsidR="00000000" w:rsidDel="00000000" w:rsidP="00000000" w:rsidRDefault="00000000" w:rsidRPr="00000000" w14:paraId="00000026">
      <w:pPr>
        <w:spacing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="276" w:lineRule="auto"/>
        <w:ind w:left="3824" w:right="0" w:hanging="303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TERCEIRA – DAS METAS DE DESEMPENHO E DO PRAZO DE CUMPRIMENTO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0" w:line="276" w:lineRule="auto"/>
        <w:ind w:left="141" w:right="188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As metas serão estabelecidas em plano de trabalho utilizando o Formulário de Acompanhamento de Desempenho de Atividades.</w:t>
      </w:r>
    </w:p>
    <w:p w:rsidR="00000000" w:rsidDel="00000000" w:rsidP="00000000" w:rsidRDefault="00000000" w:rsidRPr="00000000" w14:paraId="0000002B">
      <w:pPr>
        <w:spacing w:before="0" w:line="276" w:lineRule="auto"/>
        <w:ind w:left="141" w:right="18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 1º O alcance das metas de desempenho e o cumprimento dos prazos fixados, nos termos previstos, equivalerá ao cumprimento da jornada de trabalho.</w:t>
      </w:r>
    </w:p>
    <w:p w:rsidR="00000000" w:rsidDel="00000000" w:rsidP="00000000" w:rsidRDefault="00000000" w:rsidRPr="00000000" w14:paraId="0000002C">
      <w:pPr>
        <w:spacing w:before="0" w:line="276" w:lineRule="auto"/>
        <w:ind w:left="141" w:right="184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 2º Na hipótese de atraso injustificável no cumprimento das metas de desempenho, o servidor não se beneficiará da equivalência de jornada mencionada no § 1º, relativamente aos dias que excederem o prazo inicialmente fixado para o cumprimento das metas, caso em que poderá restar configurada, falta não justificada, inassiduidade habitual, abandono de cargo ou impontualidade, nos termos da Lei Complementar Nº 46/94, salvo por motivo devidamente justificado e aceito pelo gestor deste termo de compromisso.</w:t>
      </w:r>
    </w:p>
    <w:p w:rsidR="00000000" w:rsidDel="00000000" w:rsidP="00000000" w:rsidRDefault="00000000" w:rsidRPr="00000000" w14:paraId="0000002D">
      <w:pPr>
        <w:spacing w:before="0" w:line="276" w:lineRule="auto"/>
        <w:ind w:left="141" w:right="18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 3º A concretização de volume de trabalho superior às metas de desempenho e/ou o desempenho de atividades laborativas em horários e dias diferentes do expediente normal não gerará, para qualquer efeito, contagem de horas excedentes de trabalho.</w:t>
      </w:r>
    </w:p>
    <w:p w:rsidR="00000000" w:rsidDel="00000000" w:rsidP="00000000" w:rsidRDefault="00000000" w:rsidRPr="00000000" w14:paraId="0000002E">
      <w:pPr>
        <w:spacing w:before="0" w:line="276" w:lineRule="auto"/>
        <w:ind w:left="141" w:right="18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82" w:lineRule="auto"/>
        <w:ind w:left="618" w:right="655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QUARTA – DA VIGÊNCIA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" w:lineRule="auto"/>
        <w:ind w:left="141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O presente instrumento terá vigência de 6 (seis) meses, a contar da sua assinatura.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1" w:lineRule="auto"/>
        <w:ind w:left="618" w:right="656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QUINTA – DA EXTINÇÃO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0" w:line="276" w:lineRule="auto"/>
        <w:ind w:left="141" w:right="645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5.1. O presente termo de compromisso poderá ser extinto, a qualquer tempo, mediante: I – Solicitação do servidor; ou</w:t>
      </w:r>
    </w:p>
    <w:p w:rsidR="00000000" w:rsidDel="00000000" w:rsidP="00000000" w:rsidRDefault="00000000" w:rsidRPr="00000000" w14:paraId="00000036">
      <w:pPr>
        <w:spacing w:before="0" w:line="251" w:lineRule="auto"/>
        <w:ind w:left="141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II – No interesse da administração, de forma justificada.</w:t>
      </w:r>
    </w:p>
    <w:p w:rsidR="00000000" w:rsidDel="00000000" w:rsidP="00000000" w:rsidRDefault="00000000" w:rsidRPr="00000000" w14:paraId="00000037">
      <w:pPr>
        <w:spacing w:before="37" w:line="276" w:lineRule="auto"/>
        <w:ind w:left="141" w:right="18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único. No caso da desautorização disposta no inciso II, o servidor terá o prazo de 5 (cinco) dias úteis para deixar de exercer as atividades em modalidade teletrabalho, a contar de sua regular ciência, sem prejuízo do cumprimento das metas do mês em curso.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0" w:lineRule="auto"/>
        <w:ind w:left="618" w:right="656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SEXTA – DO ADITAMENTO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0" w:line="276" w:lineRule="auto"/>
        <w:ind w:left="141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6.1. O presente termo de responsabilidade poderá ser aditado, por conveniência da Administração, por meio de termo aditivo.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0" w:lineRule="auto"/>
        <w:ind w:left="618" w:right="654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SÉTIMA – DA PUBLICIDADE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0" w:line="276" w:lineRule="auto"/>
        <w:ind w:left="141" w:right="142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7.1 Ao aderir ao regime de teletrabalho, o servidor declara ciência dos dispostos n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sz w:val="22"/>
          <w:szCs w:val="22"/>
          <w:rtl w:val="0"/>
        </w:rPr>
        <w:t xml:space="preserve"> Decreto 11.072/2022 e Portaria do Reitor nº 1.795/2022.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2356"/>
          <w:tab w:val="left" w:leader="none" w:pos="4315"/>
        </w:tabs>
        <w:spacing w:before="1" w:lineRule="auto"/>
        <w:ind w:left="141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Chapecó, SC,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de </w:t>
      </w:r>
      <w:r w:rsidDel="00000000" w:rsidR="00000000" w:rsidRPr="00000000">
        <w:rPr>
          <w:rtl w:val="0"/>
        </w:rPr>
        <w:t xml:space="preserve">março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64253" y="3779365"/>
                          <a:ext cx="2563495" cy="1270"/>
                        </a:xfrm>
                        <a:custGeom>
                          <a:rect b="b" l="l" r="r" t="t"/>
                          <a:pathLst>
                            <a:path extrusionOk="0" h="1270" w="2563495">
                              <a:moveTo>
                                <a:pt x="0" y="0"/>
                              </a:moveTo>
                              <a:lnTo>
                                <a:pt x="256349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spacing w:before="10" w:line="276" w:lineRule="auto"/>
        <w:ind w:left="3542" w:right="2772" w:hanging="788.0000000000001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(nome e assinatura da chefia imediata) (nome órgão/entidade)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1727200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25518" y="3779365"/>
                          <a:ext cx="2640965" cy="1270"/>
                        </a:xfrm>
                        <a:custGeom>
                          <a:rect b="b" l="l" r="r" t="t"/>
                          <a:pathLst>
                            <a:path extrusionOk="0" h="1270" w="2640965">
                              <a:moveTo>
                                <a:pt x="0" y="0"/>
                              </a:moveTo>
                              <a:lnTo>
                                <a:pt x="264096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1727200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spacing w:before="10" w:lineRule="auto"/>
        <w:ind w:left="618" w:right="653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(nome e assinatura do servidor)</w:t>
      </w:r>
    </w:p>
    <w:sectPr>
      <w:headerReference r:id="rId9" w:type="default"/>
      <w:footerReference r:id="rId10" w:type="default"/>
      <w:pgSz w:h="16840" w:w="11910" w:orient="portrait"/>
      <w:pgMar w:bottom="1165.0393700787413" w:top="1360" w:left="1300" w:right="126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widowControl w:val="1"/>
      <w:tabs>
        <w:tab w:val="center" w:leader="none" w:pos="4419"/>
        <w:tab w:val="right" w:leader="none" w:pos="8838"/>
      </w:tabs>
      <w:jc w:val="center"/>
      <w:rPr>
        <w:rFonts w:ascii="Arial Narrow" w:cs="Arial Narrow" w:eastAsia="Arial Narrow" w:hAnsi="Arial Narrow"/>
        <w:b w:val="1"/>
        <w:color w:val="008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color w:val="008000"/>
        <w:sz w:val="18"/>
        <w:szCs w:val="18"/>
        <w:rtl w:val="0"/>
      </w:rPr>
      <w:t xml:space="preserve">Instituto Federal de Santa Catarina – Câmpus Chapecó</w:t>
    </w:r>
  </w:p>
  <w:p w:rsidR="00000000" w:rsidDel="00000000" w:rsidP="00000000" w:rsidRDefault="00000000" w:rsidRPr="00000000" w14:paraId="00000052">
    <w:pPr>
      <w:widowControl w:val="1"/>
      <w:tabs>
        <w:tab w:val="center" w:leader="none" w:pos="4419"/>
        <w:tab w:val="right" w:leader="none" w:pos="88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Rua Nereu Ramos, 3450 D  |  Bairro Seminário  |   Chapecó /SC  |  CEP: 89813-000</w:t>
    </w:r>
  </w:p>
  <w:p w:rsidR="00000000" w:rsidDel="00000000" w:rsidP="00000000" w:rsidRDefault="00000000" w:rsidRPr="00000000" w14:paraId="00000053">
    <w:pPr>
      <w:widowControl w:val="1"/>
      <w:tabs>
        <w:tab w:val="center" w:leader="none" w:pos="4419"/>
        <w:tab w:val="right" w:leader="none" w:pos="8838"/>
      </w:tabs>
      <w:spacing w:line="276" w:lineRule="auto"/>
      <w:ind w:hanging="108"/>
      <w:jc w:val="center"/>
      <w:rPr/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Fone: (49) 3313-1262   |   www.ifsc.edu.br  |  CNPJ 11.402.887/0007-56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-185728</wp:posOffset>
          </wp:positionH>
          <wp:positionV relativeFrom="paragraph">
            <wp:posOffset>0</wp:posOffset>
          </wp:positionV>
          <wp:extent cx="6120130" cy="663575"/>
          <wp:effectExtent b="0" l="0" r="0" t="0"/>
          <wp:wrapSquare wrapText="bothSides" distB="0" distT="0" distL="0" distR="0"/>
          <wp:docPr id="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7"/>
      <w:numFmt w:val="upperRoman"/>
      <w:lvlText w:val="%1"/>
      <w:lvlJc w:val="left"/>
      <w:pPr>
        <w:ind w:left="142" w:hanging="346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1060" w:hanging="346"/>
      </w:pPr>
      <w:rPr/>
    </w:lvl>
    <w:lvl w:ilvl="2">
      <w:start w:val="0"/>
      <w:numFmt w:val="bullet"/>
      <w:lvlText w:val="•"/>
      <w:lvlJc w:val="left"/>
      <w:pPr>
        <w:ind w:left="1981" w:hanging="346"/>
      </w:pPr>
      <w:rPr/>
    </w:lvl>
    <w:lvl w:ilvl="3">
      <w:start w:val="0"/>
      <w:numFmt w:val="bullet"/>
      <w:lvlText w:val="•"/>
      <w:lvlJc w:val="left"/>
      <w:pPr>
        <w:ind w:left="2901" w:hanging="345.99999999999955"/>
      </w:pPr>
      <w:rPr/>
    </w:lvl>
    <w:lvl w:ilvl="4">
      <w:start w:val="0"/>
      <w:numFmt w:val="bullet"/>
      <w:lvlText w:val="•"/>
      <w:lvlJc w:val="left"/>
      <w:pPr>
        <w:ind w:left="3822" w:hanging="346.00000000000045"/>
      </w:pPr>
      <w:rPr/>
    </w:lvl>
    <w:lvl w:ilvl="5">
      <w:start w:val="0"/>
      <w:numFmt w:val="bullet"/>
      <w:lvlText w:val="•"/>
      <w:lvlJc w:val="left"/>
      <w:pPr>
        <w:ind w:left="4743" w:hanging="346"/>
      </w:pPr>
      <w:rPr/>
    </w:lvl>
    <w:lvl w:ilvl="6">
      <w:start w:val="0"/>
      <w:numFmt w:val="bullet"/>
      <w:lvlText w:val="•"/>
      <w:lvlJc w:val="left"/>
      <w:pPr>
        <w:ind w:left="5663" w:hanging="346.0000000000018"/>
      </w:pPr>
      <w:rPr/>
    </w:lvl>
    <w:lvl w:ilvl="7">
      <w:start w:val="0"/>
      <w:numFmt w:val="bullet"/>
      <w:lvlText w:val="•"/>
      <w:lvlJc w:val="left"/>
      <w:pPr>
        <w:ind w:left="6584" w:hanging="346"/>
      </w:pPr>
      <w:rPr/>
    </w:lvl>
    <w:lvl w:ilvl="8">
      <w:start w:val="0"/>
      <w:numFmt w:val="bullet"/>
      <w:lvlText w:val="•"/>
      <w:lvlJc w:val="left"/>
      <w:pPr>
        <w:ind w:left="7504" w:hanging="346"/>
      </w:pPr>
      <w:rPr/>
    </w:lvl>
  </w:abstractNum>
  <w:abstractNum w:abstractNumId="2">
    <w:lvl w:ilvl="0">
      <w:start w:val="1"/>
      <w:numFmt w:val="upperRoman"/>
      <w:lvlText w:val="%1"/>
      <w:lvlJc w:val="left"/>
      <w:pPr>
        <w:ind w:left="142" w:hanging="154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1060" w:hanging="154"/>
      </w:pPr>
      <w:rPr/>
    </w:lvl>
    <w:lvl w:ilvl="2">
      <w:start w:val="0"/>
      <w:numFmt w:val="bullet"/>
      <w:lvlText w:val="•"/>
      <w:lvlJc w:val="left"/>
      <w:pPr>
        <w:ind w:left="1981" w:hanging="154"/>
      </w:pPr>
      <w:rPr/>
    </w:lvl>
    <w:lvl w:ilvl="3">
      <w:start w:val="0"/>
      <w:numFmt w:val="bullet"/>
      <w:lvlText w:val="•"/>
      <w:lvlJc w:val="left"/>
      <w:pPr>
        <w:ind w:left="2901" w:hanging="153.99999999999955"/>
      </w:pPr>
      <w:rPr/>
    </w:lvl>
    <w:lvl w:ilvl="4">
      <w:start w:val="0"/>
      <w:numFmt w:val="bullet"/>
      <w:lvlText w:val="•"/>
      <w:lvlJc w:val="left"/>
      <w:pPr>
        <w:ind w:left="3822" w:hanging="154"/>
      </w:pPr>
      <w:rPr/>
    </w:lvl>
    <w:lvl w:ilvl="5">
      <w:start w:val="0"/>
      <w:numFmt w:val="bullet"/>
      <w:lvlText w:val="•"/>
      <w:lvlJc w:val="left"/>
      <w:pPr>
        <w:ind w:left="4743" w:hanging="154"/>
      </w:pPr>
      <w:rPr/>
    </w:lvl>
    <w:lvl w:ilvl="6">
      <w:start w:val="0"/>
      <w:numFmt w:val="bullet"/>
      <w:lvlText w:val="•"/>
      <w:lvlJc w:val="left"/>
      <w:pPr>
        <w:ind w:left="5663" w:hanging="154"/>
      </w:pPr>
      <w:rPr/>
    </w:lvl>
    <w:lvl w:ilvl="7">
      <w:start w:val="0"/>
      <w:numFmt w:val="bullet"/>
      <w:lvlText w:val="•"/>
      <w:lvlJc w:val="left"/>
      <w:pPr>
        <w:ind w:left="6584" w:hanging="154"/>
      </w:pPr>
      <w:rPr/>
    </w:lvl>
    <w:lvl w:ilvl="8">
      <w:start w:val="0"/>
      <w:numFmt w:val="bullet"/>
      <w:lvlText w:val="•"/>
      <w:lvlJc w:val="left"/>
      <w:pPr>
        <w:ind w:left="7504" w:hanging="154"/>
      </w:pPr>
      <w:rPr/>
    </w:lvl>
  </w:abstractNum>
  <w:abstractNum w:abstractNumId="3">
    <w:lvl w:ilvl="0">
      <w:start w:val="1"/>
      <w:numFmt w:val="upperRoman"/>
      <w:lvlText w:val="%1"/>
      <w:lvlJc w:val="left"/>
      <w:pPr>
        <w:ind w:left="263" w:hanging="122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1168" w:hanging="122"/>
      </w:pPr>
      <w:rPr/>
    </w:lvl>
    <w:lvl w:ilvl="2">
      <w:start w:val="0"/>
      <w:numFmt w:val="bullet"/>
      <w:lvlText w:val="•"/>
      <w:lvlJc w:val="left"/>
      <w:pPr>
        <w:ind w:left="2077" w:hanging="122"/>
      </w:pPr>
      <w:rPr/>
    </w:lvl>
    <w:lvl w:ilvl="3">
      <w:start w:val="0"/>
      <w:numFmt w:val="bullet"/>
      <w:lvlText w:val="•"/>
      <w:lvlJc w:val="left"/>
      <w:pPr>
        <w:ind w:left="2985" w:hanging="122"/>
      </w:pPr>
      <w:rPr/>
    </w:lvl>
    <w:lvl w:ilvl="4">
      <w:start w:val="0"/>
      <w:numFmt w:val="bullet"/>
      <w:lvlText w:val="•"/>
      <w:lvlJc w:val="left"/>
      <w:pPr>
        <w:ind w:left="3894" w:hanging="122"/>
      </w:pPr>
      <w:rPr/>
    </w:lvl>
    <w:lvl w:ilvl="5">
      <w:start w:val="0"/>
      <w:numFmt w:val="bullet"/>
      <w:lvlText w:val="•"/>
      <w:lvlJc w:val="left"/>
      <w:pPr>
        <w:ind w:left="4803" w:hanging="122"/>
      </w:pPr>
      <w:rPr/>
    </w:lvl>
    <w:lvl w:ilvl="6">
      <w:start w:val="0"/>
      <w:numFmt w:val="bullet"/>
      <w:lvlText w:val="•"/>
      <w:lvlJc w:val="left"/>
      <w:pPr>
        <w:ind w:left="5711" w:hanging="122"/>
      </w:pPr>
      <w:rPr/>
    </w:lvl>
    <w:lvl w:ilvl="7">
      <w:start w:val="0"/>
      <w:numFmt w:val="bullet"/>
      <w:lvlText w:val="•"/>
      <w:lvlJc w:val="left"/>
      <w:pPr>
        <w:ind w:left="6620" w:hanging="122"/>
      </w:pPr>
      <w:rPr/>
    </w:lvl>
    <w:lvl w:ilvl="8">
      <w:start w:val="0"/>
      <w:numFmt w:val="bullet"/>
      <w:lvlText w:val="•"/>
      <w:lvlJc w:val="left"/>
      <w:pPr>
        <w:ind w:left="7528" w:hanging="122.00000000000091"/>
      </w:pPr>
      <w:rPr/>
    </w:lvl>
  </w:abstractNum>
  <w:abstractNum w:abstractNumId="4">
    <w:lvl w:ilvl="0">
      <w:start w:val="2"/>
      <w:numFmt w:val="decimal"/>
      <w:lvlText w:val="%1"/>
      <w:lvlJc w:val="left"/>
      <w:pPr>
        <w:ind w:left="569" w:hanging="428"/>
      </w:pPr>
      <w:rPr/>
    </w:lvl>
    <w:lvl w:ilvl="1">
      <w:start w:val="1"/>
      <w:numFmt w:val="decimal"/>
      <w:lvlText w:val="%1.%2."/>
      <w:lvlJc w:val="left"/>
      <w:pPr>
        <w:ind w:left="569" w:hanging="428"/>
      </w:pPr>
      <w:rPr>
        <w:rFonts w:ascii="Arial MT" w:cs="Arial MT" w:eastAsia="Arial MT" w:hAnsi="Arial MT"/>
        <w:sz w:val="22"/>
        <w:szCs w:val="22"/>
      </w:rPr>
    </w:lvl>
    <w:lvl w:ilvl="2">
      <w:start w:val="0"/>
      <w:numFmt w:val="bullet"/>
      <w:lvlText w:val="•"/>
      <w:lvlJc w:val="left"/>
      <w:pPr>
        <w:ind w:left="2317" w:hanging="428.0000000000002"/>
      </w:pPr>
      <w:rPr/>
    </w:lvl>
    <w:lvl w:ilvl="3">
      <w:start w:val="0"/>
      <w:numFmt w:val="bullet"/>
      <w:lvlText w:val="•"/>
      <w:lvlJc w:val="left"/>
      <w:pPr>
        <w:ind w:left="3195" w:hanging="428"/>
      </w:pPr>
      <w:rPr/>
    </w:lvl>
    <w:lvl w:ilvl="4">
      <w:start w:val="0"/>
      <w:numFmt w:val="bullet"/>
      <w:lvlText w:val="•"/>
      <w:lvlJc w:val="left"/>
      <w:pPr>
        <w:ind w:left="4074" w:hanging="428.0000000000009"/>
      </w:pPr>
      <w:rPr/>
    </w:lvl>
    <w:lvl w:ilvl="5">
      <w:start w:val="0"/>
      <w:numFmt w:val="bullet"/>
      <w:lvlText w:val="•"/>
      <w:lvlJc w:val="left"/>
      <w:pPr>
        <w:ind w:left="4953" w:hanging="428"/>
      </w:pPr>
      <w:rPr/>
    </w:lvl>
    <w:lvl w:ilvl="6">
      <w:start w:val="0"/>
      <w:numFmt w:val="bullet"/>
      <w:lvlText w:val="•"/>
      <w:lvlJc w:val="left"/>
      <w:pPr>
        <w:ind w:left="5831" w:hanging="427.9999999999991"/>
      </w:pPr>
      <w:rPr/>
    </w:lvl>
    <w:lvl w:ilvl="7">
      <w:start w:val="0"/>
      <w:numFmt w:val="bullet"/>
      <w:lvlText w:val="•"/>
      <w:lvlJc w:val="left"/>
      <w:pPr>
        <w:ind w:left="6710" w:hanging="428"/>
      </w:pPr>
      <w:rPr/>
    </w:lvl>
    <w:lvl w:ilvl="8">
      <w:start w:val="0"/>
      <w:numFmt w:val="bullet"/>
      <w:lvlText w:val="•"/>
      <w:lvlJc w:val="left"/>
      <w:pPr>
        <w:ind w:left="7588" w:hanging="428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862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862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ind w:left="862"/>
      <w:outlineLvl w:val="1"/>
    </w:pPr>
    <w:rPr>
      <w:rFonts w:ascii="Arial" w:cs="Arial" w:eastAsia="Arial" w:hAnsi="Arial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141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o0tcMKH417qGzqgJ3ZUocb3/Qg==">AMUW2mVX/k1uSFRGQiWhhs29lM4F9pfM/CLfpf0q8/I9enX5pLMSXocPpH8Jo+w1hjHUatDlfESJr7SpiQCgIc8OrpZFJynimDCDVKiMFftf3nAgR3CJJH4=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2022-08-03T12:18:13Z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Writer</vt:lpwstr>
  </property>
  <property fmtid="{D5CDD505-2E9C-101B-9397-08002B2CF9AE}" pid="4" name="LastSaved">
    <vt:filetime>2022-08-02T00:00:00Z</vt:filetime>
  </property>
</Properties>
</file>